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13DF" w14:textId="77777777" w:rsidR="00FD52C8" w:rsidRPr="00FD52C8" w:rsidRDefault="00FD52C8" w:rsidP="00FD52C8">
      <w:pPr>
        <w:spacing w:after="225" w:line="240" w:lineRule="auto"/>
        <w:outlineLvl w:val="0"/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</w:pPr>
      <w:proofErr w:type="spellStart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Методичні</w:t>
      </w:r>
      <w:proofErr w:type="spellEnd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 xml:space="preserve"> </w:t>
      </w:r>
      <w:proofErr w:type="spellStart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рекомендації</w:t>
      </w:r>
      <w:proofErr w:type="spellEnd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 xml:space="preserve"> про </w:t>
      </w:r>
      <w:proofErr w:type="spellStart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викладання</w:t>
      </w:r>
      <w:proofErr w:type="spellEnd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 xml:space="preserve"> </w:t>
      </w:r>
      <w:proofErr w:type="spellStart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іноземних</w:t>
      </w:r>
      <w:proofErr w:type="spellEnd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 xml:space="preserve"> </w:t>
      </w:r>
      <w:proofErr w:type="spellStart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мов</w:t>
      </w:r>
      <w:proofErr w:type="spellEnd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 xml:space="preserve"> у 2020/2021 </w:t>
      </w:r>
      <w:proofErr w:type="spellStart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навчальному</w:t>
      </w:r>
      <w:proofErr w:type="spellEnd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 xml:space="preserve"> </w:t>
      </w:r>
      <w:proofErr w:type="spellStart"/>
      <w:r w:rsidRPr="00FD52C8">
        <w:rPr>
          <w:rFonts w:ascii="Arial" w:eastAsia="Times New Roman" w:hAnsi="Arial" w:cs="Arial"/>
          <w:b/>
          <w:bCs/>
          <w:kern w:val="36"/>
          <w:sz w:val="39"/>
          <w:szCs w:val="39"/>
          <w:lang w:eastAsia="ru-RU"/>
        </w:rPr>
        <w:t>році</w:t>
      </w:r>
      <w:proofErr w:type="spellEnd"/>
    </w:p>
    <w:p w14:paraId="4C712E2B" w14:textId="77777777" w:rsidR="00FD52C8" w:rsidRPr="00FD52C8" w:rsidRDefault="00FD52C8" w:rsidP="00FD52C8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r w:rsidRPr="00FD52C8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fldChar w:fldCharType="begin"/>
      </w:r>
      <w:r w:rsidRPr="00FD52C8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instrText xml:space="preserve"> HYPERLINK "https://www.schoollife.org.ua/shhodo-metodychnyh-rekomendatsij-pro-vykladannya-navchalnyh-predmetiv-u-zakladah-zagalnoyi-serednoyi-osvity-u-2020-2021-navchalnomu-rotsi/" </w:instrText>
      </w:r>
      <w:r w:rsidRPr="00FD52C8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fldChar w:fldCharType="separate"/>
      </w:r>
      <w:proofErr w:type="spellStart"/>
      <w:r w:rsidRPr="00FD52C8">
        <w:rPr>
          <w:rFonts w:ascii="Verdana" w:eastAsia="Times New Roman" w:hAnsi="Verdana" w:cs="Times New Roman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Додаток</w:t>
      </w:r>
      <w:proofErr w:type="spellEnd"/>
      <w:r w:rsidRPr="00FD52C8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hyperlink r:id="rId5" w:history="1"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до листа </w:t>
        </w:r>
        <w:proofErr w:type="spellStart"/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Міністерства</w:t>
        </w:r>
        <w:proofErr w:type="spellEnd"/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і</w:t>
        </w:r>
      </w:hyperlink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hyperlink r:id="rId6" w:history="1"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науки </w:t>
        </w:r>
        <w:proofErr w:type="spellStart"/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України</w:t>
        </w:r>
        <w:proofErr w:type="spellEnd"/>
      </w:hyperlink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br/>
      </w:r>
      <w:hyperlink r:id="rId7" w:history="1">
        <w:proofErr w:type="spellStart"/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FD52C8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11.08.2020 № 1/9-430</w:t>
        </w:r>
      </w:hyperlink>
    </w:p>
    <w:p w14:paraId="2D050283" w14:textId="77777777" w:rsidR="00FD52C8" w:rsidRPr="00FD52C8" w:rsidRDefault="00FD52C8" w:rsidP="00FD52C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proofErr w:type="spellStart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Методичні</w:t>
      </w:r>
      <w:proofErr w:type="spellEnd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рекомендації</w:t>
      </w:r>
      <w:proofErr w:type="spellEnd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 xml:space="preserve"> про </w:t>
      </w:r>
      <w:proofErr w:type="spellStart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викладання</w:t>
      </w:r>
      <w:proofErr w:type="spellEnd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іноземних</w:t>
      </w:r>
      <w:proofErr w:type="spellEnd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мов</w:t>
      </w:r>
      <w:proofErr w:type="spellEnd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 xml:space="preserve"> у 2020/2021 </w:t>
      </w:r>
      <w:proofErr w:type="spellStart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навчальному</w:t>
      </w:r>
      <w:proofErr w:type="spellEnd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b/>
          <w:bCs/>
          <w:color w:val="2C2F34"/>
          <w:sz w:val="21"/>
          <w:szCs w:val="21"/>
          <w:bdr w:val="none" w:sz="0" w:space="0" w:color="auto" w:frame="1"/>
          <w:lang w:eastAsia="ru-RU"/>
        </w:rPr>
        <w:t>році</w:t>
      </w:r>
      <w:proofErr w:type="spellEnd"/>
    </w:p>
    <w:p w14:paraId="343E1BBB" w14:textId="77777777" w:rsidR="00FD52C8" w:rsidRPr="00FD52C8" w:rsidRDefault="00FD52C8" w:rsidP="00FD52C8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Вивчення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іноземних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2020-2021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навчальному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році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буде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здійснюватися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декількома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Державними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стандартами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типовими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освітніми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програмами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саме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:</w:t>
      </w:r>
    </w:p>
    <w:p w14:paraId="4DBA9AFE" w14:textId="77777777" w:rsidR="00FD52C8" w:rsidRPr="00FD52C8" w:rsidRDefault="00FD52C8" w:rsidP="00FD52C8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для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учнів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1-3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класів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новим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Державним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стандартом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початкової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затвердженим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постановою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Кабінету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Міністрів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21 лютого 2018 року №87, та Типовою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розробленою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керівництвом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О. Я. Савченко, і Типовою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розробленою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керівництвом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Р. Б.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Шияна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;</w:t>
      </w:r>
    </w:p>
    <w:p w14:paraId="0AD8D5BF" w14:textId="77777777" w:rsidR="00FD52C8" w:rsidRPr="00FD52C8" w:rsidRDefault="00FD52C8" w:rsidP="00FD52C8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для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учнів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4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класів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Державним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стандартом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початкової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затвердженим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постановою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Кабінету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Міністрів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20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квітня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2011 року № 462, та Типовою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закладів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І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ступеня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(початкова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),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затвердженою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наказом МОН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20.04.2018 № 405;</w:t>
      </w:r>
    </w:p>
    <w:p w14:paraId="3B8CC133" w14:textId="77777777" w:rsidR="00FD52C8" w:rsidRPr="00FD52C8" w:rsidRDefault="00FD52C8" w:rsidP="00FD52C8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для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учнів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5-9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класів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Державним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стандартом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базової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повної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затвердженим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постановою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Кабінету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Міністрів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23 листопада 2011 року № 1392, та Типовою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закладів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ІІ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ступеня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(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базова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),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розробленою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виконання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Закону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«Про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» і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затвердженою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наказом МОН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20.04.2018 № 408;</w:t>
      </w:r>
    </w:p>
    <w:p w14:paraId="21DC9FF0" w14:textId="77777777" w:rsidR="00FD52C8" w:rsidRPr="00FD52C8" w:rsidRDefault="00FD52C8" w:rsidP="00FD52C8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для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учнів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10-11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класів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Державним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стандартом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базової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повної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затвердженим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постановою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Кабінету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Міністрів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23 листопада 2011 року № 1392, та Типовою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закладів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середньої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ІІІ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ступеня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(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профільна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середня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),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розробленою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виконання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Закону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України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«Про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» і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затвердженою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наказом МОН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20.04.2018 № 407.</w:t>
      </w:r>
    </w:p>
    <w:p w14:paraId="27F08EEF" w14:textId="77777777" w:rsidR="00FD52C8" w:rsidRPr="00FD52C8" w:rsidRDefault="00FD52C8" w:rsidP="00FD52C8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Як і в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минулі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роки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інваріантна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складова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навчального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плану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основної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школи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(1-11класи)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забезпечує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реалізацію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змісту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іншомовної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рівні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Державного стандарту.</w:t>
      </w:r>
    </w:p>
    <w:p w14:paraId="52A82B02" w14:textId="77777777" w:rsidR="00FD52C8" w:rsidRPr="00FD52C8" w:rsidRDefault="00FD52C8" w:rsidP="00FD52C8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Предмети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курси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вибором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визначаються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закладами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gram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 межах</w:t>
      </w:r>
      <w:proofErr w:type="gram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гранично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допустимого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навчального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навантаження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урахуванням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інтересів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потреб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учнів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також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рівня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-методичного та кадрового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забезпечення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закладу.</w:t>
      </w:r>
    </w:p>
    <w:p w14:paraId="1886D0CF" w14:textId="77777777" w:rsidR="00FD52C8" w:rsidRPr="00FD52C8" w:rsidRDefault="00FD52C8" w:rsidP="00FD52C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Звертаємо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увагу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 те,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як і у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попередні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роки заклад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має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право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вибору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щодо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вивчення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другої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іноземної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.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Рішення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про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запровадження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вивчення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другої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іноземної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приймається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залежно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умов для такого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вивчення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закладом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 </w:t>
      </w:r>
      <w:proofErr w:type="spellStart"/>
      <w:r w:rsidRPr="00FD52C8">
        <w:rPr>
          <w:rFonts w:ascii="Verdana" w:eastAsia="Times New Roman" w:hAnsi="Verdana" w:cs="Times New Roman"/>
          <w:i/>
          <w:iCs/>
          <w:color w:val="2C2F34"/>
          <w:sz w:val="21"/>
          <w:szCs w:val="21"/>
          <w:bdr w:val="none" w:sz="0" w:space="0" w:color="auto" w:frame="1"/>
          <w:lang w:eastAsia="ru-RU"/>
        </w:rPr>
        <w:t>самостійно</w:t>
      </w:r>
      <w:proofErr w:type="spellEnd"/>
      <w:r w:rsidRPr="00FD52C8">
        <w:rPr>
          <w:rFonts w:ascii="Verdana" w:eastAsia="Times New Roman" w:hAnsi="Verdana" w:cs="Times New Roman"/>
          <w:i/>
          <w:iCs/>
          <w:color w:val="2C2F34"/>
          <w:sz w:val="21"/>
          <w:szCs w:val="21"/>
          <w:bdr w:val="none" w:sz="0" w:space="0" w:color="auto" w:frame="1"/>
          <w:lang w:eastAsia="ru-RU"/>
        </w:rPr>
        <w:t>.</w:t>
      </w:r>
    </w:p>
    <w:p w14:paraId="070549F4" w14:textId="77777777" w:rsidR="00FD52C8" w:rsidRPr="00FD52C8" w:rsidRDefault="00FD52C8" w:rsidP="00FD52C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Залишається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чинним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наказ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Міністерства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07.08.2015 № 855 «Про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внесення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змін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планів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загальноосвітніх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закладів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»,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згідно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яким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збільшено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години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вивчення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іноземної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рахунок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варіативної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складової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.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Рішення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про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збільшення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годин на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вивчення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іноземної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рахунок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варіативної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складової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всіх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ступенях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приймається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залежно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наявності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умов для такого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вивчення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закладом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 </w:t>
      </w:r>
      <w:proofErr w:type="spellStart"/>
      <w:r w:rsidRPr="00FD52C8">
        <w:rPr>
          <w:rFonts w:ascii="Verdana" w:eastAsia="Times New Roman" w:hAnsi="Verdana" w:cs="Times New Roman"/>
          <w:i/>
          <w:iCs/>
          <w:color w:val="2C2F34"/>
          <w:sz w:val="21"/>
          <w:szCs w:val="21"/>
          <w:bdr w:val="none" w:sz="0" w:space="0" w:color="auto" w:frame="1"/>
          <w:lang w:eastAsia="ru-RU"/>
        </w:rPr>
        <w:t>самостійно</w:t>
      </w:r>
      <w:proofErr w:type="spellEnd"/>
      <w:r w:rsidRPr="00FD52C8">
        <w:rPr>
          <w:rFonts w:ascii="Verdana" w:eastAsia="Times New Roman" w:hAnsi="Verdana" w:cs="Times New Roman"/>
          <w:i/>
          <w:iCs/>
          <w:color w:val="2C2F34"/>
          <w:sz w:val="21"/>
          <w:szCs w:val="21"/>
          <w:bdr w:val="none" w:sz="0" w:space="0" w:color="auto" w:frame="1"/>
          <w:lang w:eastAsia="ru-RU"/>
        </w:rPr>
        <w:t>.</w:t>
      </w:r>
    </w:p>
    <w:p w14:paraId="70F2C451" w14:textId="77777777" w:rsidR="00FD52C8" w:rsidRPr="00FD52C8" w:rsidRDefault="00FD52C8" w:rsidP="00FD52C8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lastRenderedPageBreak/>
        <w:t>Типові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іноземних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містять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низку тем і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питань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безпосередньо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пов’язані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 проблематикою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інтегрованих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змістових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ліній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.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не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обмежують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смислове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лінгвістичне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наповнення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інтегрованих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змістових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ліній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лише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пропонують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орієнтовні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шляхи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їх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реалізації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.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Вчителі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можуть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наповнити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новим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міжпредметним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змістом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й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інші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теми,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створювати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альтернативні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можливості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для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поєднання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різних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знань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умінь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також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методів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з метою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формування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ключових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життєвих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компетентностей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досягнення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цілісності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й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освітнього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процесу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відповідно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до потреб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певного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класу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.</w:t>
      </w:r>
    </w:p>
    <w:p w14:paraId="2C625DD9" w14:textId="77777777" w:rsidR="00FD52C8" w:rsidRPr="00FD52C8" w:rsidRDefault="00FD52C8" w:rsidP="00FD52C8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</w:pP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Дозволяється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використовувати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підручники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видані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поточному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році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в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попередні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роки,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враховуючи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при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цьому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зміни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в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програмах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.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Щодо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додаткової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навчально-методичної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літератури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то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вчителі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вільні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в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її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виборі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й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можуть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застосовувати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таку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що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найкраще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реалізує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їхню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методику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компетентнісний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потенціал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предмету «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Іноземні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мови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».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Програма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не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обмежує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самостійність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творчу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ініціативу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вчителів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,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передбачаючи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гнучкість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у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виборі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розподілі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навчального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матеріалу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відповідно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до потреб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учнів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та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обраних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засобів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 xml:space="preserve"> </w:t>
      </w:r>
      <w:proofErr w:type="spellStart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навчання</w:t>
      </w:r>
      <w:proofErr w:type="spellEnd"/>
      <w:r w:rsidRPr="00FD52C8">
        <w:rPr>
          <w:rFonts w:ascii="Verdana" w:eastAsia="Times New Roman" w:hAnsi="Verdana" w:cs="Times New Roman"/>
          <w:color w:val="2C2F34"/>
          <w:sz w:val="21"/>
          <w:szCs w:val="21"/>
          <w:lang w:eastAsia="ru-RU"/>
        </w:rPr>
        <w:t>.</w:t>
      </w:r>
    </w:p>
    <w:p w14:paraId="23B548FF" w14:textId="77777777" w:rsidR="00263840" w:rsidRDefault="00263840"/>
    <w:sectPr w:rsidR="00263840" w:rsidSect="00D7564B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A7311"/>
    <w:multiLevelType w:val="multilevel"/>
    <w:tmpl w:val="532C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C8"/>
    <w:rsid w:val="00263840"/>
    <w:rsid w:val="00587108"/>
    <w:rsid w:val="0083742D"/>
    <w:rsid w:val="009F03B7"/>
    <w:rsid w:val="00D7564B"/>
    <w:rsid w:val="00E80F72"/>
    <w:rsid w:val="00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6374"/>
  <w15:chartTrackingRefBased/>
  <w15:docId w15:val="{311F6595-0263-4A68-8914-A3068B82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2C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C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meta-item">
    <w:name w:val="meta-item"/>
    <w:basedOn w:val="a0"/>
    <w:rsid w:val="00FD52C8"/>
  </w:style>
  <w:style w:type="character" w:customStyle="1" w:styleId="meta-author-avatar">
    <w:name w:val="meta-author-avatar"/>
    <w:basedOn w:val="a0"/>
    <w:rsid w:val="00FD52C8"/>
  </w:style>
  <w:style w:type="character" w:styleId="a3">
    <w:name w:val="Hyperlink"/>
    <w:basedOn w:val="a0"/>
    <w:uiPriority w:val="99"/>
    <w:semiHidden/>
    <w:unhideWhenUsed/>
    <w:rsid w:val="00FD52C8"/>
    <w:rPr>
      <w:color w:val="0000FF"/>
      <w:u w:val="single"/>
    </w:rPr>
  </w:style>
  <w:style w:type="character" w:customStyle="1" w:styleId="meta-author">
    <w:name w:val="meta-author"/>
    <w:basedOn w:val="a0"/>
    <w:rsid w:val="00FD52C8"/>
  </w:style>
  <w:style w:type="character" w:customStyle="1" w:styleId="screen-reader-text">
    <w:name w:val="screen-reader-text"/>
    <w:basedOn w:val="a0"/>
    <w:rsid w:val="00FD52C8"/>
  </w:style>
  <w:style w:type="character" w:customStyle="1" w:styleId="date">
    <w:name w:val="date"/>
    <w:basedOn w:val="a0"/>
    <w:rsid w:val="00FD52C8"/>
  </w:style>
  <w:style w:type="character" w:customStyle="1" w:styleId="meta-views">
    <w:name w:val="meta-views"/>
    <w:basedOn w:val="a0"/>
    <w:rsid w:val="00FD52C8"/>
  </w:style>
  <w:style w:type="paragraph" w:styleId="a4">
    <w:name w:val="Normal (Web)"/>
    <w:basedOn w:val="a"/>
    <w:uiPriority w:val="99"/>
    <w:semiHidden/>
    <w:unhideWhenUsed/>
    <w:rsid w:val="00FD52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2C8"/>
    <w:rPr>
      <w:b/>
      <w:bCs/>
    </w:rPr>
  </w:style>
  <w:style w:type="character" w:styleId="a6">
    <w:name w:val="Emphasis"/>
    <w:basedOn w:val="a0"/>
    <w:uiPriority w:val="20"/>
    <w:qFormat/>
    <w:rsid w:val="00FD52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oollife.org.ua/shhodo-metodychnyh-rekomendatsij-pro-vykladannya-navchalnyh-predmetiv-u-zakladah-zagalnoyi-serednoyi-osvity-u-2020-2021-navchalnomu-rot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life.org.ua/shhodo-metodychnyh-rekomendatsij-pro-vykladannya-navchalnyh-predmetiv-u-zakladah-zagalnoyi-serednoyi-osvity-u-2020-2021-navchalnomu-rotsi/" TargetMode="External"/><Relationship Id="rId5" Type="http://schemas.openxmlformats.org/officeDocument/2006/relationships/hyperlink" Target="https://www.schoollife.org.ua/shhodo-metodychnyh-rekomendatsij-pro-vykladannya-navchalnyh-predmetiv-u-zakladah-zagalnoyi-serednoyi-osvity-u-2020-2021-navchalnomu-rot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vasylchamarnyk@gmail.com</dc:creator>
  <cp:keywords/>
  <dc:description/>
  <cp:lastModifiedBy>vasylchamarnyk@gmail.com</cp:lastModifiedBy>
  <cp:revision>1</cp:revision>
  <dcterms:created xsi:type="dcterms:W3CDTF">2021-06-02T18:40:00Z</dcterms:created>
  <dcterms:modified xsi:type="dcterms:W3CDTF">2021-06-02T18:41:00Z</dcterms:modified>
</cp:coreProperties>
</file>